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DD" w:rsidRDefault="0045115B">
      <w:pPr>
        <w:spacing w:beforeAutospacing="1" w:afterAutospacing="1" w:line="360" w:lineRule="auto"/>
        <w:ind w:right="57"/>
        <w:jc w:val="center"/>
      </w:pPr>
      <w:r>
        <w:rPr>
          <w:rStyle w:val="a3"/>
          <w:rFonts w:ascii="Times New Roman" w:hAnsi="Times New Roman"/>
          <w:b w:val="0"/>
          <w:color w:val="000000"/>
          <w:sz w:val="28"/>
          <w:szCs w:val="28"/>
        </w:rPr>
        <w:t>Санкт-Петербургское государственное бюджетное профессиональное образовательное учреждение «Колледж «Звёздный»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EF3BE0">
      <w:pPr>
        <w:spacing w:before="52" w:after="52" w:line="36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 как музыкальный жанр</w:t>
      </w:r>
    </w:p>
    <w:p w:rsidR="00186BDD" w:rsidRDefault="00186BDD">
      <w:pPr>
        <w:spacing w:beforeAutospacing="1" w:afterAutospacing="1"/>
        <w:ind w:right="57"/>
        <w:jc w:val="center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2A5AE8">
      <w:pPr>
        <w:spacing w:beforeAutospacing="1" w:afterAutospacing="1"/>
        <w:ind w:right="5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Преподаватель</w:t>
      </w:r>
      <w:r w:rsidR="0045115B">
        <w:rPr>
          <w:rFonts w:ascii="Times New Roman" w:hAnsi="Times New Roman"/>
          <w:sz w:val="28"/>
          <w:szCs w:val="28"/>
        </w:rPr>
        <w:t xml:space="preserve"> Хайруллина Г. Р.</w:t>
      </w: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beforeAutospacing="1" w:afterAutospacing="1"/>
        <w:ind w:right="57"/>
        <w:jc w:val="both"/>
        <w:rPr>
          <w:rFonts w:ascii="Times New Roman" w:hAnsi="Times New Roman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eastAsia="Times New Roman" w:cs="Times New Roman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DD" w:rsidRDefault="0045115B">
      <w:pPr>
        <w:spacing w:after="200" w:line="276" w:lineRule="exact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Санкт-Петербург, 2022 г.</w:t>
      </w:r>
    </w:p>
    <w:p w:rsidR="00186BDD" w:rsidRDefault="00186BDD">
      <w:pPr>
        <w:spacing w:after="200" w:line="276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«Концерт» (лат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oncerto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, нем. - </w:t>
      </w:r>
      <w:proofErr w:type="spellStart"/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Konzert</w:t>
      </w:r>
      <w:proofErr w:type="spellEnd"/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 итал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. - 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</w:t>
      </w:r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oncerto</w:t>
      </w:r>
      <w:proofErr w:type="spellEnd"/>
      <w:r w:rsidRPr="00E40E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) - в буквальном переводе означает состязание (голосов)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произведение для многих исполнителей, в котором меньшая часть участвующих инструментов или голосов противостоит большей их части или всему ансамблю, выделяясь за счёт тематической рельефности музыкального материала, красочности звучания, использования всех возможностей инструментов или голосов. С конца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наиболее распространены концерты  для одного солирующего инструмента с оркестром, реже встречаются концерты для нескольких инструментов с оркестром - "двойной", "тройной", "четверной". Особые разновидности составляют концерты для одного инструмента (без оркестра), концерты для оркестра (без строго определённых сольных партий), концерты для голоса (голосов) с оркестром, концерты для </w:t>
      </w:r>
      <w:proofErr w:type="gram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хора</w:t>
      </w:r>
      <w:proofErr w:type="gram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cappella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 прошлом были широко представлены вокально-полифонические концерты 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concerto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grosso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Важными предпосылками возникновения концерта как жанра был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сопоставление хоров, солистов и инструментов, впервые получивш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ее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широкое применение у представителей венецианской школы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Самые ранние концерты возникли в Италии на рубеже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веков в вокально-полифонической церковной музыке. Высшую стадию развития церковного вокального концерта полифонического стиля представляют возникшие в 1-й половине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кантаты Иоганна Себастьяна Баха, которые сам он называл «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concerti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Жанр концерта нашёл широкое применение в русской церковной в многоголосных произведениях для хора a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cappella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относящихся к области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партесного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пения. Теория "творения" таких концертов была разработана Николаем Павловичем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Дилецким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веке, первоначально в Италии, принцип "соревнования", "состязания" нескольких солирующих голосов проникает в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инструментальную  музыку - в сюиту и церковную сонату, подготавливая появление жанра инструментального концерта. На контрастном сопоставлении-соревновании оркестрового 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tutti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солистов основаны возникшие в конце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первые образцы инструментального концерта  Джованни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Бонончини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 Джузеппе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Торелли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Фактически, форма концерта сложилась в 1-й половине 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в творчестве Антонио Вивальди. По форме это трёхчастная композиция с двумя быстрыми крайними частями и медленной средней частью. Быстрые части обычно основывались на одной, реже на 2 темах. Тема эта проходила в оркестре в неизменном виде как рефрен-ритурнель (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монотемное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allegro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рондального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типа). Партия солирующего инструмента в сольных концертах вначале выполняла преимущественно связующие функции, но по мере эволюции жанра приобретала всё более ясно выраженный концертный характер и тематическую самостоятельность. Развитие музыки строилось на противопоставлении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tutti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solo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контрасты которых подчёркивались динамическими средствами. Преобладала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фигурационная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фактура ровного движения гомофонного или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полифонизированного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склада.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Концертирование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солиста, как правило, имело характер орнаментальной виртуозности. Средняя часть писалась в ариозном стиле: обычно патетическая ария солиста на фоне аккордового аккомпанемента оркестра. Такой тип концерта, получивший  к тому времени всеобщее распространение, использовал в своих клавирных концертах Иоганн Себастьян Бах. Его сочинения, как и концерты  для клавира и оркестра Георга Фридриха Генделя, положили начало развитию фортепианного концерта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2-й половине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XVIII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века сформировался классический  тип сольного инструментального концерта, чётко откристаллизовавшийся у венских классиков.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концерте утвердилась своеобразная форма сонатно-симфонического цикла, так как  концертный цикл, как правило, насчитывал только 3 части, в нём отсутствовала 3-я часть полного,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четырёхчастного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цикла, то есть менуэт или (впоследствии) скерцо. В 1-й части  Концерта применялся принцип двойной экспозиции - сначала темы главной и побочной партий звучали в оркестре в основной  тональности, и лишь после этого во 2-й экспозиции они излагались при главенствующей роли солиста. Главная тема в той же основной  тональности, а побочная - в другой, отвечающей схеме </w:t>
      </w:r>
      <w:proofErr w:type="gram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сонатного</w:t>
      </w:r>
      <w:proofErr w:type="gram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allegro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Сопоставление, соревнование солиста и оркестра проходило преимущественно в разработке. В концерте  предусматривалась импровизация солиста на темы сочинения - «каденция», которая располагалась на переходе к коде. У Моцарта фактура концерта, оставаясь преимущественно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фигурационной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мелодизирована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прозрачна, пластична, у Бетховена исполнена напряжения в соответствии с общей драматизацией стиля.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Оба композитора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избегают какого-либо штампа в построении своих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концертов, зачастую отходя от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принципа двойной экспозиции. Концерты Моцарта и Бетховена составляют высочайшие вершины развития этого жанра.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эпоху романтизма наблюдается отход от классического соотношения частей в концерте. Романтики создали одночастный концерт двух типов: малой формы – «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концертштюк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(позднее – «концертино»), и крупной формы, соответствующей по построению симфонической поэме, в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одночастности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претворяющей черты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четырёхчастного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сонатно-симфонического цикла. В романтическом концерте важнейшее значение приобрели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монотематизм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лейтмотивные связи, принцип «сквозного развития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Яркие образцы романтического  поэмного одночастного концерта создал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Ференц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Лист.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последствии наметились две разновидности концерта 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– «виртуозный» и «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симфонизированный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В виртуозном концерте на 1-й план выступает не тематическая разработка, а принцип контраста кантилены и моторики, различных типов фактуры, тембров. Для него характерн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полное первенство солиста и подчиненная (аккомпанирующая) роль оркестра. В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симфонизированном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концерте развитие музыки основано на симфонической драматургии, принципах тематической разработки, на противопоставлении образно-тематических сфер.  Здесь драматургическая активность оркестра приводит к относительному равноправию партии солиста и оркестра, а виртуозность стала средством драматического развития. Внедрение симфонической драматургии в концерт обусловливалось его сближением с симфонией в образно-художественном, идейном смысле.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Симфонизация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проникла и в каденцию. Если в виртуозном концерте каденция предназначалась для показа технического мастерства солиста, в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симфонизированном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включилась в общее развитие музыки. Уже со времени Бетховена каденции начали писать сами композиторы; в пятом фортепианном концерте Бетховена каденция становится органической частью формы произведения. Однако четко разграничить виртуозность и </w:t>
      </w:r>
      <w:proofErr w:type="spellStart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симфонизированность</w:t>
      </w:r>
      <w:proofErr w:type="spellEnd"/>
      <w:r w:rsidRPr="00E40E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концертах не всегда возможно, чаще в произведении оба этих критерия  сочетаются.</w:t>
      </w:r>
    </w:p>
    <w:p w:rsidR="00EF3BE0" w:rsidRPr="00E40ED6" w:rsidRDefault="00EF3BE0" w:rsidP="00EF3BE0">
      <w:pPr>
        <w:shd w:val="clear" w:color="auto" w:fill="FFFFFF"/>
        <w:spacing w:before="6" w:after="6" w:line="360" w:lineRule="auto"/>
        <w:ind w:right="5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жанру концерта композиторы часто обращались и в </w:t>
      </w:r>
      <w:hyperlink r:id="rId6" w:tooltip="XX век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XX веке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: широко известны </w:t>
      </w:r>
      <w:hyperlink r:id="rId7" w:tooltip="Фортепиано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фортепианные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концерты </w:t>
      </w:r>
      <w:hyperlink r:id="rId8" w:tooltip="Рахманинов, Сергей Васильевич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Сергея Рахманинова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ooltip="Прокофьев, Сергей Сергеевич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Сергея Прокофьева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0" w:tooltip="Шостакович, Дмитрий Дмитриевич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Дмитрия Шостаковича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1" w:tooltip="Стравинский, Игорь Фёдорович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Игоря Стравинского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2" w:tooltip="Барток, Бел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Белы</w:t>
        </w:r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Бартока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Мийо, Дариюс" w:history="1"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Дариуса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Мийо</w:t>
        </w:r>
        <w:proofErr w:type="spellEnd"/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4" w:tooltip="Хиндемит, Пауль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Пауля Хиндемита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tooltip="Шёнберг, Арнольд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Арнольда </w:t>
        </w:r>
        <w:proofErr w:type="spellStart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Шёнберга</w:t>
        </w:r>
        <w:proofErr w:type="spellEnd"/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tooltip="Берг, Альбан" w:history="1">
        <w:proofErr w:type="spellStart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Альбана</w:t>
        </w:r>
        <w:proofErr w:type="spellEnd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Берга</w:t>
        </w:r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tooltip="Веберн, Антон" w:history="1"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Антона </w:t>
        </w:r>
        <w:proofErr w:type="spellStart"/>
        <w:r w:rsidRPr="00E40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Веберна</w:t>
        </w:r>
        <w:proofErr w:type="spellEnd"/>
      </w:hyperlink>
      <w:r w:rsidRPr="00E40E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BE0" w:rsidRDefault="00EF3BE0" w:rsidP="00EF3BE0">
      <w:pPr>
        <w:spacing w:after="6" w:line="360" w:lineRule="auto"/>
        <w:ind w:left="170" w:right="57" w:firstLine="851"/>
        <w:jc w:val="center"/>
      </w:pPr>
      <w:r>
        <w:rPr>
          <w:rFonts w:ascii="Times New Roman" w:hAnsi="Times New Roman" w:cs="Times New Roman"/>
          <w:sz w:val="32"/>
          <w:szCs w:val="32"/>
        </w:rPr>
        <w:t>Список использованной литературы:</w:t>
      </w: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</w:pP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3BE0">
        <w:rPr>
          <w:rFonts w:ascii="Times New Roman" w:hAnsi="Times New Roman" w:cs="Times New Roman"/>
          <w:sz w:val="28"/>
          <w:szCs w:val="28"/>
        </w:rPr>
        <w:t xml:space="preserve">1. Дуков Е.В. Концерт в истории западноевропейской культуры. М.: Классика XXI, 2013. 256 с. </w:t>
      </w: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BE0">
        <w:rPr>
          <w:rFonts w:ascii="Times New Roman" w:hAnsi="Times New Roman" w:cs="Times New Roman"/>
          <w:sz w:val="28"/>
          <w:szCs w:val="28"/>
        </w:rPr>
        <w:t xml:space="preserve">2. Музыкальная литература: Учеб. Пособие. М.: Музыка, 2014. 295 с. </w:t>
      </w: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F3B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3BE0">
        <w:rPr>
          <w:rFonts w:ascii="Times New Roman" w:hAnsi="Times New Roman" w:cs="Times New Roman"/>
          <w:sz w:val="28"/>
          <w:szCs w:val="28"/>
        </w:rPr>
        <w:t>Оннегер</w:t>
      </w:r>
      <w:proofErr w:type="spellEnd"/>
      <w:r w:rsidRPr="00EF3BE0">
        <w:rPr>
          <w:rFonts w:ascii="Times New Roman" w:hAnsi="Times New Roman" w:cs="Times New Roman"/>
          <w:sz w:val="28"/>
          <w:szCs w:val="28"/>
        </w:rPr>
        <w:t xml:space="preserve"> А. О музыкальном искусстве. Л.: Музыка, 1979. 264 с. </w:t>
      </w:r>
    </w:p>
    <w:p w:rsid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F3B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BE0">
        <w:rPr>
          <w:rFonts w:ascii="Times New Roman" w:hAnsi="Times New Roman" w:cs="Times New Roman"/>
          <w:sz w:val="28"/>
          <w:szCs w:val="28"/>
        </w:rPr>
        <w:t>Раабен</w:t>
      </w:r>
      <w:proofErr w:type="spellEnd"/>
      <w:r w:rsidRPr="00EF3BE0">
        <w:rPr>
          <w:rFonts w:ascii="Times New Roman" w:hAnsi="Times New Roman" w:cs="Times New Roman"/>
          <w:sz w:val="28"/>
          <w:szCs w:val="28"/>
        </w:rPr>
        <w:t xml:space="preserve"> Л.Н. Советский инструментальный</w:t>
      </w:r>
      <w:r>
        <w:rPr>
          <w:rFonts w:ascii="Times New Roman" w:hAnsi="Times New Roman" w:cs="Times New Roman"/>
          <w:sz w:val="28"/>
          <w:szCs w:val="28"/>
        </w:rPr>
        <w:t xml:space="preserve"> концерт. М.: Музыка, 2017.    308 </w:t>
      </w:r>
      <w:r w:rsidRPr="00EF3BE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EF3BE0" w:rsidRPr="00EF3BE0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F3B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3BE0">
        <w:rPr>
          <w:rFonts w:ascii="Times New Roman" w:hAnsi="Times New Roman" w:cs="Times New Roman"/>
          <w:sz w:val="28"/>
          <w:szCs w:val="28"/>
        </w:rPr>
        <w:t>Соловцов</w:t>
      </w:r>
      <w:proofErr w:type="spellEnd"/>
      <w:r w:rsidRPr="00EF3BE0">
        <w:rPr>
          <w:rFonts w:ascii="Times New Roman" w:hAnsi="Times New Roman" w:cs="Times New Roman"/>
          <w:sz w:val="28"/>
          <w:szCs w:val="28"/>
        </w:rPr>
        <w:t xml:space="preserve"> А.А. Концерт. Москва: </w:t>
      </w:r>
      <w:proofErr w:type="spellStart"/>
      <w:r w:rsidRPr="00EF3BE0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EF3BE0">
        <w:rPr>
          <w:rFonts w:ascii="Times New Roman" w:hAnsi="Times New Roman" w:cs="Times New Roman"/>
          <w:sz w:val="28"/>
          <w:szCs w:val="28"/>
        </w:rPr>
        <w:t>, 2013. 59 с.</w:t>
      </w:r>
    </w:p>
    <w:bookmarkEnd w:id="0"/>
    <w:p w:rsidR="00EF3BE0" w:rsidRPr="00E40ED6" w:rsidRDefault="00EF3BE0" w:rsidP="00EF3BE0">
      <w:pPr>
        <w:shd w:val="clear" w:color="auto" w:fill="FFFFFF"/>
        <w:spacing w:before="6" w:after="6" w:line="360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86BDD" w:rsidRDefault="00186BDD">
      <w:pPr>
        <w:spacing w:before="6" w:after="6" w:line="360" w:lineRule="auto"/>
        <w:ind w:right="57"/>
        <w:rPr>
          <w:rFonts w:ascii="Times New Roman" w:hAnsi="Times New Roman" w:cs="Times New Roman"/>
        </w:rPr>
      </w:pPr>
    </w:p>
    <w:sectPr w:rsidR="00186BDD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C43"/>
    <w:multiLevelType w:val="multilevel"/>
    <w:tmpl w:val="042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4D7C6C"/>
    <w:multiLevelType w:val="multilevel"/>
    <w:tmpl w:val="FE082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723529D"/>
    <w:multiLevelType w:val="multilevel"/>
    <w:tmpl w:val="4D66B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DD"/>
    <w:rsid w:val="00186BDD"/>
    <w:rsid w:val="002A5AE8"/>
    <w:rsid w:val="0045115B"/>
    <w:rsid w:val="00E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A5AE8"/>
    <w:pPr>
      <w:spacing w:after="120" w:line="480" w:lineRule="auto"/>
      <w:ind w:left="283"/>
    </w:pPr>
    <w:rPr>
      <w:rFonts w:cs="Mangal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AE8"/>
    <w:rPr>
      <w:rFonts w:cs="Mangal"/>
    </w:rPr>
  </w:style>
  <w:style w:type="paragraph" w:customStyle="1" w:styleId="ab">
    <w:name w:val="стиль &quot;лекция&quot;"/>
    <w:basedOn w:val="a"/>
    <w:qFormat/>
    <w:rsid w:val="002A5AE8"/>
    <w:pPr>
      <w:widowControl/>
      <w:ind w:firstLine="851"/>
      <w:jc w:val="both"/>
    </w:pPr>
    <w:rPr>
      <w:rFonts w:ascii="Liberation Serif" w:hAnsi="Liberation Serif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SimSun" w:hAnsi="Calibri" w:cs="Arial"/>
        <w:kern w:val="2"/>
        <w:sz w:val="2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Pr>
      <w:b/>
      <w:bCs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200"/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A5AE8"/>
    <w:pPr>
      <w:spacing w:after="120" w:line="480" w:lineRule="auto"/>
      <w:ind w:left="283"/>
    </w:pPr>
    <w:rPr>
      <w:rFonts w:cs="Mangal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5AE8"/>
    <w:rPr>
      <w:rFonts w:cs="Mangal"/>
    </w:rPr>
  </w:style>
  <w:style w:type="paragraph" w:customStyle="1" w:styleId="ab">
    <w:name w:val="стиль &quot;лекция&quot;"/>
    <w:basedOn w:val="a"/>
    <w:qFormat/>
    <w:rsid w:val="002A5AE8"/>
    <w:pPr>
      <w:widowControl/>
      <w:ind w:firstLine="851"/>
      <w:jc w:val="both"/>
    </w:pPr>
    <w:rPr>
      <w:rFonts w:ascii="Liberation Serif" w:hAnsi="Liberation Seri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0%D1%85%D0%BC%D0%B0%D0%BD%D0%B8%D0%BD%D0%BE%D0%B2,_%D0%A1%D0%B5%D1%80%D0%B3%D0%B5%D0%B9_%D0%92%D0%B0%D1%81%D0%B8%D0%BB%D1%8C%D0%B5%D0%B2%D0%B8%D1%87" TargetMode="External"/><Relationship Id="rId13" Type="http://schemas.openxmlformats.org/officeDocument/2006/relationships/hyperlink" Target="https://ru.wikipedia.org/wiki/%D0%9C%D0%B8%D0%B9%D0%BE,_%D0%94%D0%B0%D1%80%D0%B8%D1%8E%D1%8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4%D0%BE%D1%80%D1%82%D0%B5%D0%BF%D0%B8%D0%B0%D0%BD%D0%BE" TargetMode="External"/><Relationship Id="rId12" Type="http://schemas.openxmlformats.org/officeDocument/2006/relationships/hyperlink" Target="https://ru.wikipedia.org/wiki/%D0%91%D0%B0%D1%80%D1%82%D0%BE%D0%BA,_%D0%91%D0%B5%D0%BB%D0%B0" TargetMode="External"/><Relationship Id="rId17" Type="http://schemas.openxmlformats.org/officeDocument/2006/relationships/hyperlink" Target="https://ru.wikipedia.org/wiki/%D0%92%D0%B5%D0%B1%D0%B5%D1%80%D0%BD,_%D0%90%D0%BD%D1%82%D0%BE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5%D1%80%D0%B3,_%D0%90%D0%BB%D1%8C%D0%B1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X_%D0%B2%D0%B5%D0%BA" TargetMode="External"/><Relationship Id="rId11" Type="http://schemas.openxmlformats.org/officeDocument/2006/relationships/hyperlink" Target="https://ru.wikipedia.org/wiki/%D0%A1%D1%82%D1%80%D0%B0%D0%B2%D0%B8%D0%BD%D1%81%D0%BA%D0%B8%D0%B9,_%D0%98%D0%B3%D0%BE%D1%80%D1%8C_%D0%A4%D1%91%D0%B4%D0%BE%D1%80%D0%BE%D0%B2%D0%B8%D1%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8%D1%91%D0%BD%D0%B1%D0%B5%D1%80%D0%B3,_%D0%90%D1%80%D0%BD%D0%BE%D0%BB%D1%8C%D0%B4" TargetMode="External"/><Relationship Id="rId10" Type="http://schemas.openxmlformats.org/officeDocument/2006/relationships/hyperlink" Target="https://ru.wikipedia.org/wiki/%D0%A8%D0%BE%D1%81%D1%82%D0%B0%D0%BA%D0%BE%D0%B2%D0%B8%D1%87,_%D0%94%D0%BC%D0%B8%D1%82%D1%80%D0%B8%D0%B9_%D0%94%D0%BC%D0%B8%D1%82%D1%80%D0%B8%D0%B5%D0%B2%D0%B8%D1%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A%D0%BE%D1%84%D1%8C%D0%B5%D0%B2,_%D0%A1%D0%B5%D1%80%D0%B3%D0%B5%D0%B9_%D0%A1%D0%B5%D1%80%D0%B3%D0%B5%D0%B5%D0%B2%D0%B8%D1%87" TargetMode="External"/><Relationship Id="rId14" Type="http://schemas.openxmlformats.org/officeDocument/2006/relationships/hyperlink" Target="https://ru.wikipedia.org/wiki/%D0%A5%D0%B8%D0%BD%D0%B4%D0%B5%D0%BC%D0%B8%D1%82,_%D0%9F%D0%B0%D1%83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1695293</dc:creator>
  <cp:lastModifiedBy>1695293</cp:lastModifiedBy>
  <cp:revision>2</cp:revision>
  <dcterms:created xsi:type="dcterms:W3CDTF">2022-10-19T10:48:00Z</dcterms:created>
  <dcterms:modified xsi:type="dcterms:W3CDTF">2022-10-19T10:48:00Z</dcterms:modified>
  <dc:language>ru-RU</dc:language>
</cp:coreProperties>
</file>